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宋体" w:hAnsi="宋体" w:eastAsia="宋体"/>
          <w:b/>
          <w:sz w:val="44"/>
        </w:rPr>
        <w:t>交流发言：领悟精神实质   筑牢廉洁防线</w:t>
      </w:r>
    </w:p>
    <w:p>
      <w:pPr>
        <w:jc w:val="center"/>
      </w:pPr>
      <w:r>
        <w:rPr>
          <w:rFonts w:ascii="宋体" w:hAnsi="宋体" w:eastAsia="宋体"/>
          <w:b/>
          <w:sz w:val="44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仿宋" w:hAnsi="仿宋" w:eastAsia="仿宋"/>
          <w:b w:val="0"/>
          <w:sz w:val="32"/>
        </w:rPr>
        <w:t>深入贯彻中央八项规定精神学习教育，是巩固深化主题教育和党纪学习教育成果、纵深推进全面从严治党的重要举措，是密切党群干群关系、巩固党的长期执政基础的必然要求，是推进中国式现代化的有力保障。纪检监察机关作为党的“纪律部队”，必须在学习教育中走在前、做表率，先学一步，学深一层，发挥好示范带动作用。下面，结合工作实际和近一段时间以来的集中学习及自学情况，重点围绕“坚守八项规定精神筑牢廉洁自律防线”这一题目谈三点体会，不妥之处请大家批评指正。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黑体" w:hAnsi="黑体" w:eastAsia="黑体"/>
          <w:b w:val="0"/>
          <w:sz w:val="32"/>
        </w:rPr>
        <w:t>一、领悟要义，把准方向之舵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仿宋" w:hAnsi="仿宋" w:eastAsia="仿宋"/>
          <w:b w:val="0"/>
          <w:sz w:val="32"/>
        </w:rPr>
        <w:t>2012年12月4日，《十八届中央政治局关于改进工作作风、密切联系群众的八项规定》正式出台。从这一天起，“八项规定”四个字，成为中国政治生活中最具分量的关键词之一。中央八项规定不是空洞的口号，而是八条直指痛点的“硬杠杠”，更是一把丈量作风的“标尺”。它用最朴实的语言，划定了党员干部行为的边界。如果说八项规定是“戒尺”，是外科手术，八项规定精神则是刻在戒尺上的“刻度”，它不仅是纪律，更是一种价值观，它不局限于八条具体规定，而是将作风建设提升到“全面从严治党”的战略高度。我理解，它的内核是三个“永远在路上”：从严治党的决心永远在路上。从严查公款购买赠送月饼、贺年卡等具体问题抓起，到遏制“舌尖上的浪费”、刹住“车轮上的腐败”、整治“会所里的歪风”，十三年间，“越往后越严”的信号始终强烈；人民至上的立场永远在路上。从延安时候军民同甘共苦，到新时代社区干部深入群众、贴心服务，中央八项规定精神在基层的生动实践，充分体现了“以人民为中心”的发展思想；持续深化“四风”永远在路上。从中纪委连续xxx个月公布查处违反中央八项规定精神问题情况数据来看，“四风”问题树倒根存、禁而未绝，由风及腐、风腐一体，彻底铲除不正之风滋生的土壤还任重道远，抓作风建设只有进行时、没有完成时。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黑体" w:hAnsi="黑体" w:eastAsia="黑体"/>
          <w:b w:val="0"/>
          <w:sz w:val="32"/>
        </w:rPr>
        <w:t>二、对标对表，检视作风之弊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仿宋" w:hAnsi="仿宋" w:eastAsia="仿宋"/>
          <w:b w:val="0"/>
          <w:sz w:val="32"/>
        </w:rPr>
        <w:t>作风建设是检验党员干部的重要标准，而问题查摆则是推动作风建设的关键环节。深入贯彻中央八项规定精神，必须要有敢于自我革命的斗争精神。党员干部要勇于正视自身存在的问题，不回避、不推诿，以壮士断腕的决心和勇气，向自身的不良作风“开刀”。作为一名纪检监察领导干部，更要破除“小节无害论”，小事小节是一面镜子，最能反映党性和作风，违反八项规定清单内容详细且具体，这是我们的行为准则，守住小节，才能涵养浩然气节。要开展“立体体检”，在思想和行为上以“显微镜”查细节、“探照灯”照盲区，重点实施“穿透式扫描”，既查显性问题，又挖隐形病灶，去除形式化、浅表化倾向，精准定位病灶。要以案为鉴。通过反面典型案例反思自己、警醒自己，对照中央八项规定精神列举的“文山会海”“层层陪同”“迎来送往”等形式主义、官僚主义等问题，深入剖析学习上的“时差”、执行上的“偏差”、效果上的“温差”，针对性抓好整改提升，持之以恒加强自身作风建设。要注重家风建设，从家庭做起，严格要求亲属子女，正好家风、办好家事，严把家庭廉洁关，当好家中“廉洁监督员”。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黑体" w:hAnsi="黑体" w:eastAsia="黑体"/>
          <w:b w:val="0"/>
          <w:sz w:val="32"/>
        </w:rPr>
        <w:t>三、真抓整改，践行落实之责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仿宋" w:hAnsi="仿宋" w:eastAsia="仿宋"/>
          <w:b w:val="0"/>
          <w:sz w:val="32"/>
        </w:rPr>
        <w:t>开展学习教育，推动问题整改是关键，让群众满意是最终落脚点。广大党员干部要针对查摆出的问题，拿出“刀刃向内”“刮骨疗毒”的勇气，摈弃应付思想、过关心态，主动从认识上纠偏、从行为上改正、从制度上规范，结合实际列出集中整治任务清单，逐项制定整改措施和整改时限，切实把问题整改到位。坚持开门教育，始终把群众的评价作为检验学习教育成效的重要标准，经常深入基层一线，与群众面对面交流，主动听取、诚恳接受群众对自己处事方式、办事方法等方面的意见建议，用心用情办好群众反映的急难愁盼问题，坚决把调研时“走马观花”、交流时“不说土话说官话”等问题清扫出门、整治到位，提升学习教育的质效。作为纪检监察机关，要增强使命意识、责任担当，深入学习贯彻总书记关于加强党的作风建设论述摘编，牢固树立严于律己、以身作则的理念，严守规矩底线，不碰纪律红线，加强监督执纪执法。要紧盯风腐一体、由风及腐问题，对顶风违纪行为露头就打、从严查处。同时注重分析腐败案件背后的‘四风’因素，探索解决风腐一体、由风及腐问题的方法路径，着力推动正风反腐一体深化，以“同查”严惩风腐交织问题，以“同治”铲除风腐共性根源，不断提升作风建设和反腐败斗争治理效能。</w:t>
      </w:r>
      <w:r>
        <w:rPr>
          <w:rFonts w:ascii="仿宋" w:hAnsi="仿宋" w:eastAsia="仿宋"/>
          <w:b w:val="0"/>
          <w:sz w:val="32"/>
        </w:rPr>
      </w:r>
    </w:p>
    <w:p>
      <w:r>
        <w:rPr>
          <w:rFonts w:ascii="仿宋" w:hAnsi="仿宋" w:eastAsia="仿宋"/>
          <w:b w:val="0"/>
          <w:sz w:val="32"/>
        </w:rPr>
        <w:t xml:space="preserve">    </w:t>
      </w:r>
      <w:r>
        <w:rPr>
          <w:rFonts w:ascii="仿宋" w:hAnsi="仿宋" w:eastAsia="仿宋"/>
          <w:b w:val="0"/>
          <w:sz w:val="32"/>
        </w:rPr>
      </w:r>
      <w:r>
        <w:rPr>
          <w:rFonts w:ascii="仿宋" w:hAnsi="仿宋" w:eastAsia="仿宋"/>
          <w:b w:val="0"/>
          <w:sz w:val="32"/>
        </w:rPr>
        <w:t>中央八项规定不是五年、十年的规定，而是长期有效的铁规矩、硬杠杠。学习教育七月底结束，但是作风建设永远在路上，重在持之以恒、常抓不懈。作为纪检监察领导干部，更应该将学习教育与当前正在开展的“纪检监察工作规范化法治化正规化建设年”行动紧密结合，切实将学习教育成果转化为捍卫党纪的忠诚品格，转化为监督执纪执法的过硬本领，转化为高质量开展审查调查工作的明显成效。</w:t>
      </w:r>
      <w:r>
        <w:rPr>
          <w:rFonts w:ascii="仿宋" w:hAnsi="仿宋" w:eastAsia="仿宋"/>
          <w:b w:val="0"/>
          <w:sz w:val="32"/>
        </w:rPr>
      </w:r>
    </w:p>
    <w:p>
      <w:r>
        <w:br w:type="page"/>
      </w:r>
    </w:p>
    <w:p>
      <w:pPr>
        <w:autoSpaceDE/>
        <w:autoSpaceDN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000000"/>
          <w:kern w:val="2"/>
          <w:sz w:val="32"/>
          <w:szCs w:val="32"/>
          <w:lang w:eastAsia="zh-CN"/>
        </w:rPr>
        <w:t>免责声明：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  <w:t>文稿来源网络整理，版权归原作者所有。</w:t>
      </w:r>
    </w:p>
    <w:p>
      <w:pPr>
        <w:autoSpaceDE/>
        <w:autoSpaceDN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  <w:t>若侵犯了您的合法权益，请作者持权属证明与本站联系，我们将及时更正、删除！谢谢！</w:t>
      </w:r>
    </w:p>
    <w:p>
      <w:pPr>
        <w:autoSpaceDE/>
        <w:autoSpaceDN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000000"/>
          <w:kern w:val="2"/>
          <w:sz w:val="32"/>
          <w:szCs w:val="32"/>
          <w:lang w:eastAsia="zh-CN"/>
        </w:rPr>
        <w:t>文稿首发平台：</w:t>
      </w:r>
      <w:r>
        <w:rPr>
          <w:rFonts w:hint="eastAsia" w:ascii="仿宋_GB2312" w:hAnsi="Calibri" w:eastAsia="仿宋_GB2312" w:cs="Times New Roman"/>
          <w:color w:val="FF0000"/>
          <w:kern w:val="2"/>
          <w:sz w:val="32"/>
          <w:szCs w:val="32"/>
          <w:lang w:val="en-US" w:eastAsia="zh-CN"/>
        </w:rPr>
        <w:t>www.gongwenzhijia</w:t>
      </w:r>
      <w:r>
        <w:rPr>
          <w:rFonts w:ascii="仿宋_GB2312" w:hAnsi="Calibri" w:eastAsia="仿宋_GB2312" w:cs="Times New Roman"/>
          <w:color w:val="FF0000"/>
          <w:kern w:val="2"/>
          <w:sz w:val="32"/>
          <w:szCs w:val="32"/>
          <w:lang w:eastAsia="zh-CN"/>
        </w:rPr>
        <w:t>.com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  <w:t>（公文之家）</w:t>
      </w:r>
    </w:p>
    <w:p>
      <w:pPr>
        <w:autoSpaceDE/>
        <w:autoSpaceDN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</w:p>
    <w:p>
      <w:pPr>
        <w:autoSpaceDE/>
        <w:autoSpaceDN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</w:p>
    <w:p>
      <w:pPr>
        <w:autoSpaceDE/>
        <w:autoSpaceDN/>
        <w:spacing w:line="560" w:lineRule="exact"/>
        <w:jc w:val="center"/>
        <w:rPr>
          <w:rFonts w:hint="eastAsia" w:ascii="方正黑体_GBK" w:hAnsi="方正黑体_GBK" w:eastAsia="方正黑体_GBK" w:cs="方正黑体_GBK"/>
          <w:b/>
          <w:bCs/>
          <w:color w:val="000000"/>
          <w:kern w:val="2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000000"/>
          <w:kern w:val="2"/>
          <w:sz w:val="32"/>
          <w:szCs w:val="32"/>
          <w:lang w:eastAsia="zh-CN"/>
        </w:rPr>
        <w:t>移动端访问</w:t>
      </w:r>
    </w:p>
    <w:p>
      <w:pPr>
        <w:autoSpaceDE/>
        <w:autoSpaceDN/>
        <w:spacing w:line="560" w:lineRule="exact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  <w:t>微信扫码关注公众号，随时随地查阅</w:t>
      </w:r>
    </w:p>
    <w:p>
      <w:pPr>
        <w:autoSpaceDE/>
        <w:autoSpaceDN/>
        <w:spacing w:line="240" w:lineRule="auto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  <w:drawing>
          <wp:inline distT="0" distB="0" distL="114300" distR="114300">
            <wp:extent cx="2963545" cy="2963545"/>
            <wp:effectExtent l="0" t="0" r="8255" b="8255"/>
            <wp:docPr id="1" name="图片 2" descr="公文之家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公文之家二维码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63545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autoSpaceDE/>
        <w:autoSpaceDN/>
        <w:spacing w:line="240" w:lineRule="auto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eastAsia="zh-CN"/>
        </w:rPr>
        <w:t>微信扫一扫，把公文之家装进口袋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640" w:lineRule="exact"/>
    </w:p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